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EC" w:rsidRDefault="00BB1BEC" w:rsidP="00BB1BEC">
      <w:pPr>
        <w:pStyle w:val="1"/>
        <w:spacing w:before="0" w:after="0" w:line="500" w:lineRule="exact"/>
        <w:jc w:val="center"/>
        <w:rPr>
          <w:rFonts w:ascii="宋体" w:hAnsi="宋体" w:cs="宋体"/>
          <w:sz w:val="24"/>
          <w:szCs w:val="24"/>
        </w:rPr>
      </w:pPr>
      <w:bookmarkStart w:id="0" w:name="_Toc13729"/>
      <w:bookmarkStart w:id="1" w:name="_Toc37663392"/>
      <w:bookmarkStart w:id="2" w:name="_Toc37245277"/>
      <w:bookmarkStart w:id="3" w:name="_Toc37331081"/>
      <w:bookmarkStart w:id="4" w:name="_Toc46308528"/>
      <w:bookmarkStart w:id="5" w:name="_Toc37331039"/>
      <w:bookmarkStart w:id="6" w:name="_Toc37581421"/>
      <w:bookmarkStart w:id="7" w:name="_Toc40762371"/>
      <w:bookmarkStart w:id="8" w:name="_Toc46308684"/>
      <w:bookmarkStart w:id="9" w:name="_Toc37569520"/>
      <w:r>
        <w:rPr>
          <w:rFonts w:ascii="宋体" w:hAnsi="宋体" w:cs="宋体" w:hint="eastAsia"/>
          <w:sz w:val="24"/>
          <w:szCs w:val="24"/>
        </w:rPr>
        <w:t>需求书</w:t>
      </w:r>
      <w:bookmarkEnd w:id="0"/>
      <w:r w:rsidR="00155924">
        <w:rPr>
          <w:rFonts w:ascii="宋体" w:hAnsi="宋体" w:cs="宋体" w:hint="eastAsia"/>
          <w:sz w:val="24"/>
          <w:szCs w:val="24"/>
        </w:rPr>
        <w:t>（格式）</w:t>
      </w:r>
      <w:bookmarkStart w:id="10" w:name="_GoBack"/>
      <w:bookmarkEnd w:id="10"/>
    </w:p>
    <w:p w:rsidR="00BB1BEC" w:rsidRDefault="00BB1BEC" w:rsidP="00BB1BEC">
      <w:pPr>
        <w:spacing w:line="360" w:lineRule="auto"/>
        <w:jc w:val="both"/>
        <w:rPr>
          <w:rFonts w:ascii="宋体" w:hAnsi="宋体" w:cs="宋体"/>
        </w:rPr>
      </w:pPr>
    </w:p>
    <w:p w:rsidR="00BB1BEC" w:rsidRDefault="00BB1BEC" w:rsidP="00BB1BEC">
      <w:pPr>
        <w:widowControl w:val="0"/>
        <w:spacing w:line="360" w:lineRule="auto"/>
        <w:outlineLvl w:val="1"/>
        <w:rPr>
          <w:rFonts w:ascii="宋体" w:hAnsi="宋体" w:cs="宋体"/>
          <w:b/>
          <w:bCs/>
        </w:rPr>
      </w:pPr>
      <w:bookmarkStart w:id="11" w:name="_Toc17570"/>
      <w:bookmarkStart w:id="12" w:name="_Toc26513"/>
      <w:bookmarkStart w:id="13" w:name="_Toc519"/>
      <w:bookmarkStart w:id="14" w:name="_Toc5241"/>
      <w:bookmarkStart w:id="15" w:name="_Toc9746"/>
      <w:bookmarkStart w:id="16" w:name="_Toc30176"/>
      <w:bookmarkStart w:id="17" w:name="_Toc7405"/>
      <w:r>
        <w:rPr>
          <w:rFonts w:ascii="宋体" w:hAnsi="宋体" w:cs="宋体" w:hint="eastAsia"/>
          <w:b/>
          <w:bCs/>
        </w:rPr>
        <w:t>说明</w:t>
      </w:r>
      <w:bookmarkEnd w:id="11"/>
      <w:bookmarkEnd w:id="12"/>
      <w:bookmarkEnd w:id="13"/>
      <w:bookmarkEnd w:id="14"/>
      <w:r>
        <w:rPr>
          <w:rFonts w:ascii="宋体" w:hAnsi="宋体" w:cs="宋体" w:hint="eastAsia"/>
          <w:b/>
          <w:bCs/>
        </w:rPr>
        <w:t>：</w:t>
      </w:r>
      <w:bookmarkEnd w:id="15"/>
      <w:bookmarkEnd w:id="16"/>
      <w:bookmarkEnd w:id="17"/>
    </w:p>
    <w:p w:rsidR="00BB1BEC" w:rsidRDefault="00BB1BEC" w:rsidP="00BB1BEC">
      <w:pPr>
        <w:widowControl w:val="0"/>
        <w:tabs>
          <w:tab w:val="left" w:pos="1145"/>
        </w:tabs>
        <w:spacing w:line="360" w:lineRule="auto"/>
        <w:ind w:firstLineChars="200" w:firstLine="422"/>
        <w:rPr>
          <w:rFonts w:ascii="宋体" w:hAnsi="宋体" w:cs="宋体"/>
          <w:b/>
          <w:bCs/>
        </w:rPr>
      </w:pPr>
      <w:r>
        <w:rPr>
          <w:rFonts w:ascii="宋体" w:hAnsi="宋体" w:cs="宋体" w:hint="eastAsia"/>
          <w:b/>
          <w:bCs/>
        </w:rPr>
        <w:t>1.报价人必须对所有</w:t>
      </w:r>
      <w:r>
        <w:rPr>
          <w:rFonts w:ascii="宋体" w:hAnsi="宋体" w:cs="宋体"/>
          <w:b/>
          <w:bCs/>
        </w:rPr>
        <w:t>采购</w:t>
      </w:r>
      <w:r>
        <w:rPr>
          <w:rFonts w:ascii="宋体" w:hAnsi="宋体" w:cs="宋体" w:hint="eastAsia"/>
          <w:b/>
          <w:bCs/>
        </w:rPr>
        <w:t>内容</w:t>
      </w:r>
      <w:r>
        <w:rPr>
          <w:rFonts w:ascii="宋体" w:hAnsi="宋体" w:cs="宋体"/>
          <w:b/>
          <w:bCs/>
        </w:rPr>
        <w:t>或服务进行整体响应</w:t>
      </w:r>
      <w:r>
        <w:rPr>
          <w:rFonts w:ascii="宋体" w:hAnsi="宋体" w:cs="宋体" w:hint="eastAsia"/>
          <w:b/>
          <w:bCs/>
        </w:rPr>
        <w:t>，</w:t>
      </w:r>
      <w:r>
        <w:rPr>
          <w:rFonts w:ascii="宋体" w:hAnsi="宋体" w:cs="宋体"/>
          <w:b/>
          <w:bCs/>
        </w:rPr>
        <w:t>任何只</w:t>
      </w:r>
      <w:r>
        <w:rPr>
          <w:rFonts w:ascii="宋体" w:hAnsi="宋体" w:cs="宋体" w:hint="eastAsia"/>
          <w:b/>
          <w:bCs/>
        </w:rPr>
        <w:t>对部分内容进行</w:t>
      </w:r>
      <w:r>
        <w:rPr>
          <w:rFonts w:ascii="宋体" w:hAnsi="宋体" w:cs="宋体"/>
          <w:b/>
          <w:bCs/>
        </w:rPr>
        <w:t>响应都被视为无效</w:t>
      </w:r>
      <w:r>
        <w:rPr>
          <w:rFonts w:ascii="宋体" w:hAnsi="宋体" w:cs="宋体" w:hint="eastAsia"/>
          <w:b/>
          <w:bCs/>
        </w:rPr>
        <w:t>报价</w:t>
      </w:r>
      <w:r>
        <w:rPr>
          <w:rFonts w:ascii="宋体" w:hAnsi="宋体" w:cs="宋体"/>
          <w:b/>
          <w:bCs/>
        </w:rPr>
        <w:t>。</w:t>
      </w:r>
    </w:p>
    <w:p w:rsidR="00BB1BEC" w:rsidRDefault="00BB1BEC" w:rsidP="00BB1BEC">
      <w:pPr>
        <w:widowControl w:val="0"/>
        <w:tabs>
          <w:tab w:val="left" w:pos="1145"/>
        </w:tabs>
        <w:spacing w:line="360" w:lineRule="auto"/>
        <w:ind w:firstLineChars="200" w:firstLine="422"/>
        <w:rPr>
          <w:rFonts w:ascii="宋体" w:hAnsi="宋体" w:cs="宋体"/>
          <w:b/>
          <w:bCs/>
        </w:rPr>
      </w:pPr>
      <w:r>
        <w:rPr>
          <w:rFonts w:ascii="宋体" w:hAnsi="宋体" w:cs="宋体"/>
          <w:b/>
          <w:bCs/>
        </w:rPr>
        <w:t>2</w:t>
      </w:r>
      <w:r>
        <w:rPr>
          <w:rFonts w:ascii="宋体" w:hAnsi="宋体" w:cs="宋体" w:hint="eastAsia"/>
          <w:b/>
          <w:bCs/>
        </w:rPr>
        <w:t>.需求书中加注“★”的条款均被视为不可偏离条款，投标人要特别加以注意，必须对此响应并完全满足或优于这些条款，否则若有一项加注“★”的条款未响应或不满足，报价都将被视为无效报价。</w:t>
      </w:r>
    </w:p>
    <w:p w:rsidR="00BB1BEC" w:rsidRPr="00BB1BEC" w:rsidRDefault="00BB1BEC" w:rsidP="00BB1BEC">
      <w:pPr>
        <w:pStyle w:val="a0"/>
      </w:pPr>
    </w:p>
    <w:p w:rsidR="00BB1BEC" w:rsidRDefault="00BB1BEC" w:rsidP="00BB1BEC">
      <w:pPr>
        <w:pStyle w:val="a0"/>
        <w:numPr>
          <w:ilvl w:val="0"/>
          <w:numId w:val="1"/>
        </w:numPr>
        <w:spacing w:line="360" w:lineRule="auto"/>
        <w:ind w:firstLine="0"/>
        <w:jc w:val="both"/>
        <w:rPr>
          <w:rFonts w:ascii="宋体" w:hAnsi="宋体" w:cs="宋体"/>
          <w:b/>
          <w:bCs/>
        </w:rPr>
      </w:pPr>
      <w:r>
        <w:rPr>
          <w:rFonts w:ascii="宋体" w:hAnsi="宋体" w:cs="宋体" w:hint="eastAsia"/>
          <w:b/>
          <w:bCs/>
        </w:rPr>
        <w:t>项目概况</w:t>
      </w:r>
    </w:p>
    <w:p w:rsidR="00BB1BEC" w:rsidRDefault="00BB1BEC" w:rsidP="00BB1BEC">
      <w:pPr>
        <w:widowControl w:val="0"/>
        <w:tabs>
          <w:tab w:val="left" w:pos="1145"/>
        </w:tabs>
        <w:spacing w:line="360" w:lineRule="auto"/>
        <w:ind w:firstLineChars="200" w:firstLine="420"/>
        <w:rPr>
          <w:rFonts w:ascii="宋体" w:hAnsi="宋体"/>
        </w:rPr>
      </w:pPr>
      <w:r>
        <w:rPr>
          <w:rFonts w:ascii="宋体" w:hAnsi="宋体" w:cs="宋体" w:hint="eastAsia"/>
        </w:rPr>
        <w:t>1.采购内容：</w:t>
      </w:r>
      <w:r>
        <w:rPr>
          <w:rFonts w:ascii="宋体" w:hAnsi="宋体"/>
        </w:rPr>
        <w:t xml:space="preserve"> </w:t>
      </w:r>
    </w:p>
    <w:p w:rsidR="00BB1BEC" w:rsidRDefault="00BB1BEC" w:rsidP="00BB1BEC">
      <w:pPr>
        <w:widowControl w:val="0"/>
        <w:tabs>
          <w:tab w:val="left" w:pos="1145"/>
        </w:tabs>
        <w:spacing w:line="360" w:lineRule="auto"/>
        <w:ind w:firstLineChars="200" w:firstLine="420"/>
        <w:rPr>
          <w:rFonts w:ascii="宋体" w:hAnsi="宋体" w:cs="宋体"/>
          <w:b/>
          <w:bCs/>
          <w:u w:val="single"/>
        </w:rPr>
      </w:pPr>
      <w:r>
        <w:rPr>
          <w:rFonts w:ascii="宋体" w:hAnsi="宋体" w:hint="eastAsia"/>
        </w:rPr>
        <w:t>2.</w:t>
      </w:r>
      <w:r>
        <w:rPr>
          <w:rFonts w:ascii="宋体" w:hAnsi="宋体" w:cs="宋体" w:hint="eastAsia"/>
        </w:rPr>
        <w:t>采购预算：。</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3.本项目确定一名成交人。</w:t>
      </w:r>
    </w:p>
    <w:p w:rsidR="00BB1BEC" w:rsidRDefault="00BB1BEC" w:rsidP="00BB1BEC">
      <w:pPr>
        <w:pStyle w:val="a0"/>
        <w:spacing w:line="360" w:lineRule="auto"/>
        <w:jc w:val="both"/>
        <w:rPr>
          <w:rFonts w:ascii="宋体" w:hAnsi="宋体" w:cs="宋体"/>
        </w:rPr>
      </w:pPr>
    </w:p>
    <w:p w:rsidR="00BB1BEC" w:rsidRDefault="00BB1BEC" w:rsidP="00BB1BEC">
      <w:pPr>
        <w:pStyle w:val="a0"/>
        <w:numPr>
          <w:ilvl w:val="0"/>
          <w:numId w:val="1"/>
        </w:numPr>
        <w:spacing w:line="360" w:lineRule="auto"/>
        <w:ind w:firstLine="0"/>
        <w:jc w:val="both"/>
        <w:rPr>
          <w:rFonts w:ascii="宋体" w:hAnsi="宋体" w:cs="宋体"/>
          <w:b/>
          <w:bCs/>
        </w:rPr>
      </w:pPr>
      <w:bookmarkStart w:id="18" w:name="_Toc16724"/>
      <w:bookmarkStart w:id="19" w:name="_Toc20246"/>
      <w:bookmarkStart w:id="20" w:name="_Toc23812"/>
      <w:bookmarkEnd w:id="1"/>
      <w:bookmarkEnd w:id="2"/>
      <w:bookmarkEnd w:id="3"/>
      <w:bookmarkEnd w:id="4"/>
      <w:bookmarkEnd w:id="5"/>
      <w:bookmarkEnd w:id="6"/>
      <w:bookmarkEnd w:id="7"/>
      <w:bookmarkEnd w:id="8"/>
      <w:bookmarkEnd w:id="9"/>
      <w:r>
        <w:rPr>
          <w:rFonts w:ascii="宋体" w:hAnsi="宋体" w:cs="宋体" w:hint="eastAsia"/>
          <w:b/>
        </w:rPr>
        <w:t>采购货物清单</w:t>
      </w:r>
      <w:bookmarkEnd w:id="18"/>
      <w:bookmarkEnd w:id="19"/>
      <w:bookmarkEnd w:id="20"/>
    </w:p>
    <w:p w:rsidR="00BB1BEC" w:rsidRDefault="00BB1BEC" w:rsidP="00BB1BEC">
      <w:pPr>
        <w:spacing w:line="360" w:lineRule="auto"/>
        <w:ind w:firstLineChars="200" w:firstLine="422"/>
        <w:outlineLvl w:val="1"/>
        <w:rPr>
          <w:rFonts w:ascii="宋体" w:hAnsi="宋体"/>
          <w:b/>
          <w:bCs/>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4656"/>
        <w:gridCol w:w="1528"/>
        <w:gridCol w:w="1529"/>
      </w:tblGrid>
      <w:tr w:rsidR="00BB1BEC" w:rsidTr="00BB1BEC">
        <w:trPr>
          <w:trHeight w:val="380"/>
          <w:tblHeader/>
          <w:jc w:val="center"/>
        </w:trPr>
        <w:tc>
          <w:tcPr>
            <w:tcW w:w="1076" w:type="dxa"/>
            <w:noWrap/>
            <w:vAlign w:val="center"/>
          </w:tcPr>
          <w:p w:rsidR="00BB1BEC" w:rsidRDefault="00BB1BEC" w:rsidP="00346323">
            <w:pPr>
              <w:jc w:val="center"/>
              <w:rPr>
                <w:rFonts w:ascii="宋体" w:hAnsi="宋体" w:cs="宋体"/>
                <w:b/>
                <w:bCs/>
                <w:color w:val="000000"/>
                <w:szCs w:val="20"/>
              </w:rPr>
            </w:pPr>
            <w:r>
              <w:rPr>
                <w:rFonts w:ascii="宋体" w:hAnsi="宋体" w:cs="宋体" w:hint="eastAsia"/>
                <w:b/>
                <w:bCs/>
                <w:color w:val="000000"/>
                <w:szCs w:val="20"/>
              </w:rPr>
              <w:t>序号</w:t>
            </w:r>
          </w:p>
        </w:tc>
        <w:tc>
          <w:tcPr>
            <w:tcW w:w="4656" w:type="dxa"/>
            <w:noWrap/>
            <w:vAlign w:val="center"/>
          </w:tcPr>
          <w:p w:rsidR="00BB1BEC" w:rsidRDefault="00BB1BEC" w:rsidP="00346323">
            <w:pPr>
              <w:jc w:val="center"/>
              <w:rPr>
                <w:rFonts w:ascii="宋体" w:hAnsi="宋体" w:cs="宋体"/>
                <w:b/>
                <w:bCs/>
                <w:color w:val="000000"/>
                <w:szCs w:val="20"/>
              </w:rPr>
            </w:pPr>
            <w:r>
              <w:rPr>
                <w:rFonts w:ascii="宋体" w:hAnsi="宋体" w:cs="宋体" w:hint="eastAsia"/>
                <w:b/>
                <w:bCs/>
                <w:color w:val="000000"/>
                <w:szCs w:val="20"/>
              </w:rPr>
              <w:t>货物（服务）名称</w:t>
            </w:r>
          </w:p>
        </w:tc>
        <w:tc>
          <w:tcPr>
            <w:tcW w:w="1528" w:type="dxa"/>
            <w:noWrap/>
            <w:vAlign w:val="center"/>
          </w:tcPr>
          <w:p w:rsidR="00BB1BEC" w:rsidRDefault="00BB1BEC" w:rsidP="00346323">
            <w:pPr>
              <w:jc w:val="center"/>
              <w:rPr>
                <w:rFonts w:ascii="宋体" w:hAnsi="宋体" w:cs="宋体"/>
                <w:b/>
                <w:bCs/>
                <w:color w:val="000000"/>
                <w:szCs w:val="20"/>
              </w:rPr>
            </w:pPr>
            <w:r>
              <w:rPr>
                <w:rFonts w:ascii="宋体" w:hAnsi="宋体" w:cs="宋体" w:hint="eastAsia"/>
                <w:b/>
                <w:bCs/>
                <w:color w:val="000000"/>
                <w:szCs w:val="20"/>
              </w:rPr>
              <w:t>数量</w:t>
            </w:r>
          </w:p>
        </w:tc>
        <w:tc>
          <w:tcPr>
            <w:tcW w:w="1529" w:type="dxa"/>
            <w:noWrap/>
            <w:vAlign w:val="center"/>
          </w:tcPr>
          <w:p w:rsidR="00BB1BEC" w:rsidRDefault="00BB1BEC" w:rsidP="00346323">
            <w:pPr>
              <w:jc w:val="center"/>
              <w:rPr>
                <w:rFonts w:ascii="宋体" w:hAnsi="宋体" w:cs="宋体"/>
                <w:b/>
                <w:bCs/>
                <w:color w:val="000000"/>
                <w:szCs w:val="20"/>
              </w:rPr>
            </w:pPr>
            <w:r>
              <w:rPr>
                <w:rFonts w:ascii="宋体" w:hAnsi="宋体" w:cs="宋体" w:hint="eastAsia"/>
                <w:b/>
                <w:bCs/>
                <w:color w:val="000000"/>
                <w:szCs w:val="20"/>
              </w:rPr>
              <w:t>单位</w:t>
            </w:r>
          </w:p>
        </w:tc>
      </w:tr>
      <w:tr w:rsidR="00BB1BEC" w:rsidTr="00BB1BEC">
        <w:trPr>
          <w:trHeight w:val="392"/>
          <w:jc w:val="center"/>
        </w:trPr>
        <w:tc>
          <w:tcPr>
            <w:tcW w:w="1076" w:type="dxa"/>
            <w:noWrap/>
            <w:vAlign w:val="center"/>
          </w:tcPr>
          <w:p w:rsidR="00BB1BEC" w:rsidRDefault="00BB1BEC" w:rsidP="00346323">
            <w:pPr>
              <w:jc w:val="center"/>
              <w:rPr>
                <w:rFonts w:ascii="宋体" w:hAnsi="宋体" w:cs="宋体"/>
                <w:color w:val="000000"/>
                <w:szCs w:val="20"/>
              </w:rPr>
            </w:pPr>
            <w:r>
              <w:rPr>
                <w:rFonts w:ascii="宋体" w:hAnsi="宋体" w:cs="宋体" w:hint="eastAsia"/>
                <w:color w:val="000000"/>
                <w:szCs w:val="20"/>
              </w:rPr>
              <w:t>1</w:t>
            </w:r>
          </w:p>
        </w:tc>
        <w:tc>
          <w:tcPr>
            <w:tcW w:w="4656" w:type="dxa"/>
            <w:noWrap/>
            <w:vAlign w:val="center"/>
          </w:tcPr>
          <w:p w:rsidR="00BB1BEC" w:rsidRDefault="00BB1BEC" w:rsidP="00346323">
            <w:pPr>
              <w:jc w:val="center"/>
              <w:textAlignment w:val="center"/>
              <w:rPr>
                <w:rFonts w:ascii="宋体" w:hAnsi="宋体" w:cs="宋体"/>
                <w:color w:val="000000"/>
              </w:rPr>
            </w:pPr>
          </w:p>
        </w:tc>
        <w:tc>
          <w:tcPr>
            <w:tcW w:w="1528" w:type="dxa"/>
            <w:noWrap/>
            <w:vAlign w:val="center"/>
          </w:tcPr>
          <w:p w:rsidR="00BB1BEC" w:rsidRDefault="00BB1BEC" w:rsidP="00346323">
            <w:pPr>
              <w:jc w:val="center"/>
              <w:rPr>
                <w:rFonts w:ascii="宋体" w:hAnsi="宋体" w:cs="宋体"/>
                <w:color w:val="000000"/>
              </w:rPr>
            </w:pPr>
          </w:p>
        </w:tc>
        <w:tc>
          <w:tcPr>
            <w:tcW w:w="1529" w:type="dxa"/>
            <w:noWrap/>
            <w:vAlign w:val="center"/>
          </w:tcPr>
          <w:p w:rsidR="00BB1BEC" w:rsidRDefault="00BB1BEC" w:rsidP="00346323">
            <w:pPr>
              <w:spacing w:line="240" w:lineRule="atLeast"/>
              <w:jc w:val="center"/>
              <w:rPr>
                <w:rFonts w:ascii="宋体" w:hAnsi="宋体" w:cs="宋体"/>
                <w:color w:val="000000"/>
              </w:rPr>
            </w:pPr>
          </w:p>
        </w:tc>
      </w:tr>
      <w:tr w:rsidR="00BB1BEC" w:rsidTr="00BB1BEC">
        <w:trPr>
          <w:trHeight w:val="382"/>
          <w:jc w:val="center"/>
        </w:trPr>
        <w:tc>
          <w:tcPr>
            <w:tcW w:w="1076" w:type="dxa"/>
            <w:noWrap/>
            <w:vAlign w:val="center"/>
          </w:tcPr>
          <w:p w:rsidR="00BB1BEC" w:rsidRDefault="00BB1BEC" w:rsidP="00346323">
            <w:pPr>
              <w:jc w:val="center"/>
              <w:rPr>
                <w:rFonts w:ascii="宋体" w:hAnsi="宋体" w:cs="宋体"/>
                <w:color w:val="000000"/>
                <w:szCs w:val="20"/>
              </w:rPr>
            </w:pPr>
            <w:r>
              <w:rPr>
                <w:rFonts w:ascii="宋体" w:hAnsi="宋体" w:cs="宋体" w:hint="eastAsia"/>
                <w:color w:val="000000"/>
                <w:szCs w:val="20"/>
              </w:rPr>
              <w:t>2</w:t>
            </w:r>
          </w:p>
        </w:tc>
        <w:tc>
          <w:tcPr>
            <w:tcW w:w="4656" w:type="dxa"/>
            <w:noWrap/>
            <w:vAlign w:val="center"/>
          </w:tcPr>
          <w:p w:rsidR="00BB1BEC" w:rsidRDefault="00BB1BEC" w:rsidP="00346323">
            <w:pPr>
              <w:jc w:val="center"/>
              <w:textAlignment w:val="center"/>
              <w:rPr>
                <w:rFonts w:ascii="宋体" w:hAnsi="宋体" w:cs="宋体"/>
                <w:color w:val="000000"/>
              </w:rPr>
            </w:pPr>
          </w:p>
        </w:tc>
        <w:tc>
          <w:tcPr>
            <w:tcW w:w="1528" w:type="dxa"/>
            <w:noWrap/>
            <w:vAlign w:val="center"/>
          </w:tcPr>
          <w:p w:rsidR="00BB1BEC" w:rsidRDefault="00BB1BEC" w:rsidP="00346323">
            <w:pPr>
              <w:jc w:val="center"/>
              <w:rPr>
                <w:rFonts w:ascii="宋体" w:hAnsi="宋体" w:cs="宋体"/>
                <w:color w:val="000000"/>
              </w:rPr>
            </w:pPr>
          </w:p>
        </w:tc>
        <w:tc>
          <w:tcPr>
            <w:tcW w:w="1529" w:type="dxa"/>
            <w:noWrap/>
            <w:vAlign w:val="center"/>
          </w:tcPr>
          <w:p w:rsidR="00BB1BEC" w:rsidRDefault="00BB1BEC" w:rsidP="00346323">
            <w:pPr>
              <w:spacing w:line="240" w:lineRule="atLeast"/>
              <w:jc w:val="center"/>
              <w:rPr>
                <w:rFonts w:ascii="宋体" w:hAnsi="宋体" w:cs="宋体"/>
                <w:color w:val="000000"/>
              </w:rPr>
            </w:pPr>
          </w:p>
        </w:tc>
      </w:tr>
      <w:tr w:rsidR="00BB1BEC" w:rsidTr="00BB1BEC">
        <w:trPr>
          <w:trHeight w:val="402"/>
          <w:jc w:val="center"/>
        </w:trPr>
        <w:tc>
          <w:tcPr>
            <w:tcW w:w="1076" w:type="dxa"/>
            <w:noWrap/>
            <w:vAlign w:val="center"/>
          </w:tcPr>
          <w:p w:rsidR="00BB1BEC" w:rsidRDefault="00BB1BEC" w:rsidP="00346323">
            <w:pPr>
              <w:jc w:val="center"/>
              <w:rPr>
                <w:rFonts w:ascii="宋体" w:hAnsi="宋体" w:cs="宋体"/>
                <w:color w:val="000000"/>
                <w:szCs w:val="20"/>
              </w:rPr>
            </w:pPr>
            <w:r>
              <w:rPr>
                <w:rFonts w:ascii="宋体" w:hAnsi="宋体" w:cs="宋体" w:hint="eastAsia"/>
                <w:color w:val="000000"/>
                <w:szCs w:val="20"/>
              </w:rPr>
              <w:t>3</w:t>
            </w:r>
          </w:p>
        </w:tc>
        <w:tc>
          <w:tcPr>
            <w:tcW w:w="4656" w:type="dxa"/>
            <w:noWrap/>
            <w:vAlign w:val="center"/>
          </w:tcPr>
          <w:p w:rsidR="00BB1BEC" w:rsidRDefault="00BB1BEC" w:rsidP="00346323">
            <w:pPr>
              <w:jc w:val="center"/>
              <w:textAlignment w:val="center"/>
              <w:rPr>
                <w:rFonts w:ascii="宋体" w:hAnsi="宋体" w:cs="宋体"/>
                <w:color w:val="000000"/>
              </w:rPr>
            </w:pPr>
          </w:p>
        </w:tc>
        <w:tc>
          <w:tcPr>
            <w:tcW w:w="1528" w:type="dxa"/>
            <w:noWrap/>
            <w:vAlign w:val="center"/>
          </w:tcPr>
          <w:p w:rsidR="00BB1BEC" w:rsidRDefault="00BB1BEC" w:rsidP="00346323">
            <w:pPr>
              <w:jc w:val="center"/>
              <w:rPr>
                <w:rFonts w:ascii="宋体" w:hAnsi="宋体" w:cs="宋体"/>
                <w:color w:val="000000"/>
              </w:rPr>
            </w:pPr>
          </w:p>
        </w:tc>
        <w:tc>
          <w:tcPr>
            <w:tcW w:w="1529" w:type="dxa"/>
            <w:noWrap/>
            <w:vAlign w:val="center"/>
          </w:tcPr>
          <w:p w:rsidR="00BB1BEC" w:rsidRDefault="00BB1BEC" w:rsidP="00346323">
            <w:pPr>
              <w:spacing w:line="240" w:lineRule="atLeast"/>
              <w:jc w:val="center"/>
              <w:rPr>
                <w:rFonts w:ascii="宋体" w:hAnsi="宋体" w:cs="宋体"/>
                <w:color w:val="000000"/>
              </w:rPr>
            </w:pPr>
          </w:p>
        </w:tc>
      </w:tr>
    </w:tbl>
    <w:p w:rsidR="00BB1BEC" w:rsidRDefault="00BB1BEC" w:rsidP="00BB1BEC">
      <w:pPr>
        <w:pStyle w:val="a0"/>
        <w:spacing w:line="360" w:lineRule="auto"/>
        <w:jc w:val="both"/>
        <w:rPr>
          <w:rFonts w:ascii="宋体" w:hAnsi="宋体" w:cs="宋体"/>
        </w:rPr>
      </w:pPr>
    </w:p>
    <w:p w:rsidR="00BB1BEC" w:rsidRDefault="00BB1BEC" w:rsidP="00BB1BEC">
      <w:pPr>
        <w:pStyle w:val="a0"/>
        <w:numPr>
          <w:ilvl w:val="0"/>
          <w:numId w:val="1"/>
        </w:numPr>
        <w:spacing w:line="360" w:lineRule="auto"/>
        <w:ind w:firstLine="0"/>
        <w:jc w:val="both"/>
        <w:rPr>
          <w:rFonts w:ascii="宋体" w:hAnsi="宋体" w:cs="宋体"/>
          <w:b/>
          <w:bCs/>
        </w:rPr>
      </w:pPr>
      <w:r>
        <w:rPr>
          <w:rFonts w:ascii="宋体" w:hAnsi="宋体" w:cs="宋体" w:hint="eastAsia"/>
          <w:b/>
          <w:bCs/>
        </w:rPr>
        <w:t>技术规格要求</w:t>
      </w:r>
    </w:p>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2017"/>
        <w:gridCol w:w="4677"/>
        <w:gridCol w:w="707"/>
        <w:gridCol w:w="707"/>
      </w:tblGrid>
      <w:tr w:rsidR="00BB1BEC" w:rsidTr="00BB1BEC">
        <w:trPr>
          <w:trHeight w:val="560"/>
          <w:tblHeader/>
        </w:trPr>
        <w:tc>
          <w:tcPr>
            <w:tcW w:w="785" w:type="dxa"/>
            <w:tcBorders>
              <w:top w:val="single" w:sz="4" w:space="0" w:color="auto"/>
              <w:left w:val="single" w:sz="4" w:space="0" w:color="auto"/>
              <w:bottom w:val="single" w:sz="4" w:space="0" w:color="auto"/>
              <w:right w:val="single" w:sz="4" w:space="0" w:color="auto"/>
            </w:tcBorders>
            <w:shd w:val="clear" w:color="auto" w:fill="CCC0D9"/>
            <w:vAlign w:val="center"/>
          </w:tcPr>
          <w:p w:rsidR="00BB1BEC" w:rsidRDefault="00BB1BEC" w:rsidP="00346323">
            <w:pPr>
              <w:topLinePunct/>
              <w:adjustRightInd w:val="0"/>
              <w:snapToGrid w:val="0"/>
              <w:spacing w:line="320" w:lineRule="exact"/>
              <w:jc w:val="center"/>
              <w:rPr>
                <w:rFonts w:ascii="宋体" w:hAnsi="宋体" w:cs="宋体"/>
                <w:b/>
              </w:rPr>
            </w:pPr>
            <w:r>
              <w:rPr>
                <w:rFonts w:ascii="宋体" w:hAnsi="宋体" w:cs="宋体" w:hint="eastAsia"/>
                <w:b/>
              </w:rPr>
              <w:t>序号</w:t>
            </w:r>
          </w:p>
        </w:tc>
        <w:tc>
          <w:tcPr>
            <w:tcW w:w="2017" w:type="dxa"/>
            <w:tcBorders>
              <w:top w:val="single" w:sz="4" w:space="0" w:color="auto"/>
              <w:left w:val="single" w:sz="4" w:space="0" w:color="auto"/>
              <w:bottom w:val="single" w:sz="4" w:space="0" w:color="auto"/>
              <w:right w:val="single" w:sz="4" w:space="0" w:color="auto"/>
            </w:tcBorders>
            <w:shd w:val="clear" w:color="auto" w:fill="CCC0D9"/>
            <w:vAlign w:val="center"/>
          </w:tcPr>
          <w:p w:rsidR="00BB1BEC" w:rsidRDefault="00BB1BEC" w:rsidP="00346323">
            <w:pPr>
              <w:topLinePunct/>
              <w:adjustRightInd w:val="0"/>
              <w:snapToGrid w:val="0"/>
              <w:spacing w:line="320" w:lineRule="exact"/>
              <w:jc w:val="center"/>
              <w:rPr>
                <w:rFonts w:ascii="宋体" w:hAnsi="宋体" w:cs="宋体"/>
                <w:b/>
              </w:rPr>
            </w:pPr>
            <w:r>
              <w:rPr>
                <w:rFonts w:ascii="宋体" w:hAnsi="宋体" w:cs="宋体" w:hint="eastAsia"/>
                <w:b/>
              </w:rPr>
              <w:t>货物（服务）名称</w:t>
            </w:r>
          </w:p>
        </w:tc>
        <w:tc>
          <w:tcPr>
            <w:tcW w:w="4677" w:type="dxa"/>
            <w:tcBorders>
              <w:top w:val="single" w:sz="4" w:space="0" w:color="auto"/>
              <w:left w:val="single" w:sz="4" w:space="0" w:color="auto"/>
              <w:bottom w:val="single" w:sz="4" w:space="0" w:color="auto"/>
              <w:right w:val="single" w:sz="4" w:space="0" w:color="auto"/>
            </w:tcBorders>
            <w:shd w:val="clear" w:color="auto" w:fill="CCC0D9"/>
            <w:vAlign w:val="center"/>
          </w:tcPr>
          <w:p w:rsidR="00BB1BEC" w:rsidRDefault="00BB1BEC" w:rsidP="00346323">
            <w:pPr>
              <w:topLinePunct/>
              <w:adjustRightInd w:val="0"/>
              <w:snapToGrid w:val="0"/>
              <w:spacing w:line="320" w:lineRule="exact"/>
              <w:jc w:val="center"/>
              <w:rPr>
                <w:rFonts w:ascii="宋体" w:hAnsi="宋体" w:cs="宋体"/>
                <w:b/>
              </w:rPr>
            </w:pPr>
            <w:r>
              <w:rPr>
                <w:rFonts w:ascii="宋体" w:hAnsi="宋体" w:cs="宋体" w:hint="eastAsia"/>
                <w:b/>
              </w:rPr>
              <w:t>技术指标及性能说明（服务要求）</w:t>
            </w:r>
          </w:p>
        </w:tc>
        <w:tc>
          <w:tcPr>
            <w:tcW w:w="707" w:type="dxa"/>
            <w:tcBorders>
              <w:top w:val="single" w:sz="4" w:space="0" w:color="auto"/>
              <w:left w:val="single" w:sz="4" w:space="0" w:color="auto"/>
              <w:bottom w:val="single" w:sz="4" w:space="0" w:color="auto"/>
              <w:right w:val="single" w:sz="4" w:space="0" w:color="auto"/>
            </w:tcBorders>
            <w:shd w:val="clear" w:color="auto" w:fill="CCC0D9"/>
            <w:vAlign w:val="center"/>
          </w:tcPr>
          <w:p w:rsidR="00BB1BEC" w:rsidRDefault="00BB1BEC" w:rsidP="00346323">
            <w:pPr>
              <w:topLinePunct/>
              <w:adjustRightInd w:val="0"/>
              <w:snapToGrid w:val="0"/>
              <w:spacing w:line="320" w:lineRule="exact"/>
              <w:jc w:val="center"/>
              <w:rPr>
                <w:rFonts w:ascii="宋体" w:hAnsi="宋体" w:cs="宋体"/>
                <w:b/>
              </w:rPr>
            </w:pPr>
            <w:r>
              <w:rPr>
                <w:rFonts w:ascii="宋体" w:hAnsi="宋体" w:cs="宋体" w:hint="eastAsia"/>
                <w:b/>
              </w:rPr>
              <w:t>数量</w:t>
            </w:r>
          </w:p>
        </w:tc>
        <w:tc>
          <w:tcPr>
            <w:tcW w:w="707" w:type="dxa"/>
            <w:tcBorders>
              <w:top w:val="single" w:sz="4" w:space="0" w:color="auto"/>
              <w:left w:val="single" w:sz="4" w:space="0" w:color="auto"/>
              <w:bottom w:val="single" w:sz="4" w:space="0" w:color="auto"/>
              <w:right w:val="single" w:sz="4" w:space="0" w:color="auto"/>
            </w:tcBorders>
            <w:shd w:val="clear" w:color="auto" w:fill="CCC0D9"/>
            <w:vAlign w:val="center"/>
          </w:tcPr>
          <w:p w:rsidR="00BB1BEC" w:rsidRDefault="00BB1BEC" w:rsidP="00346323">
            <w:pPr>
              <w:topLinePunct/>
              <w:adjustRightInd w:val="0"/>
              <w:snapToGrid w:val="0"/>
              <w:spacing w:line="320" w:lineRule="exact"/>
              <w:jc w:val="center"/>
              <w:rPr>
                <w:rFonts w:ascii="宋体" w:hAnsi="宋体" w:cs="宋体"/>
                <w:b/>
              </w:rPr>
            </w:pPr>
            <w:r>
              <w:rPr>
                <w:rFonts w:ascii="宋体" w:hAnsi="宋体" w:cs="宋体" w:hint="eastAsia"/>
                <w:b/>
              </w:rPr>
              <w:t>单位</w:t>
            </w:r>
          </w:p>
        </w:tc>
      </w:tr>
      <w:tr w:rsidR="00BB1BEC" w:rsidTr="00BB1BEC">
        <w:trPr>
          <w:trHeight w:val="400"/>
        </w:trPr>
        <w:tc>
          <w:tcPr>
            <w:tcW w:w="785"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lang w:bidi="ar"/>
              </w:rPr>
            </w:pPr>
            <w:r>
              <w:rPr>
                <w:rFonts w:ascii="宋体" w:hAnsi="宋体" w:cs="宋体" w:hint="eastAsia"/>
                <w:color w:val="000000"/>
                <w:lang w:bidi="ar"/>
              </w:rPr>
              <w:t>1</w:t>
            </w:r>
          </w:p>
        </w:tc>
        <w:tc>
          <w:tcPr>
            <w:tcW w:w="201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lang w:bidi="ar"/>
              </w:rPr>
            </w:pPr>
          </w:p>
        </w:tc>
        <w:tc>
          <w:tcPr>
            <w:tcW w:w="467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textAlignment w:val="center"/>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spacing w:line="240" w:lineRule="atLeast"/>
              <w:jc w:val="center"/>
              <w:rPr>
                <w:rFonts w:ascii="宋体" w:hAnsi="宋体" w:cs="宋体"/>
                <w:color w:val="000000"/>
                <w:lang w:bidi="ar"/>
              </w:rPr>
            </w:pPr>
          </w:p>
        </w:tc>
      </w:tr>
      <w:tr w:rsidR="00BB1BEC" w:rsidTr="00BB1BEC">
        <w:trPr>
          <w:trHeight w:val="400"/>
        </w:trPr>
        <w:tc>
          <w:tcPr>
            <w:tcW w:w="785"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rPr>
            </w:pPr>
            <w:r>
              <w:rPr>
                <w:rFonts w:ascii="宋体" w:hAnsi="宋体" w:cs="宋体" w:hint="eastAsia"/>
                <w:color w:val="000000"/>
                <w:lang w:bidi="ar"/>
              </w:rPr>
              <w:t>2</w:t>
            </w:r>
          </w:p>
        </w:tc>
        <w:tc>
          <w:tcPr>
            <w:tcW w:w="201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lang w:bidi="ar"/>
              </w:rPr>
            </w:pPr>
          </w:p>
        </w:tc>
        <w:tc>
          <w:tcPr>
            <w:tcW w:w="467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textAlignment w:val="center"/>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spacing w:line="240" w:lineRule="atLeast"/>
              <w:jc w:val="center"/>
              <w:rPr>
                <w:rFonts w:ascii="宋体" w:hAnsi="宋体" w:cs="宋体"/>
                <w:color w:val="000000"/>
                <w:lang w:bidi="ar"/>
              </w:rPr>
            </w:pPr>
          </w:p>
        </w:tc>
      </w:tr>
      <w:tr w:rsidR="00BB1BEC" w:rsidTr="00BB1BEC">
        <w:trPr>
          <w:trHeight w:val="400"/>
        </w:trPr>
        <w:tc>
          <w:tcPr>
            <w:tcW w:w="785"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lang w:bidi="ar"/>
              </w:rPr>
            </w:pPr>
            <w:r>
              <w:rPr>
                <w:rFonts w:ascii="宋体" w:hAnsi="宋体" w:cs="宋体" w:hint="eastAsia"/>
                <w:color w:val="000000"/>
                <w:lang w:bidi="ar"/>
              </w:rPr>
              <w:t>3</w:t>
            </w:r>
          </w:p>
        </w:tc>
        <w:tc>
          <w:tcPr>
            <w:tcW w:w="201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textAlignment w:val="center"/>
              <w:rPr>
                <w:rFonts w:ascii="宋体" w:hAnsi="宋体" w:cs="宋体"/>
                <w:color w:val="000000"/>
                <w:lang w:bidi="ar"/>
              </w:rPr>
            </w:pPr>
          </w:p>
        </w:tc>
        <w:tc>
          <w:tcPr>
            <w:tcW w:w="467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tabs>
                <w:tab w:val="left" w:pos="420"/>
              </w:tabs>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jc w:val="center"/>
              <w:rPr>
                <w:rFonts w:ascii="宋体" w:hAnsi="宋体" w:cs="宋体"/>
                <w:color w:val="000000"/>
                <w:lang w:bidi="ar"/>
              </w:rPr>
            </w:pPr>
          </w:p>
        </w:tc>
        <w:tc>
          <w:tcPr>
            <w:tcW w:w="707" w:type="dxa"/>
            <w:tcBorders>
              <w:top w:val="single" w:sz="4" w:space="0" w:color="auto"/>
              <w:left w:val="single" w:sz="4" w:space="0" w:color="auto"/>
              <w:bottom w:val="single" w:sz="4" w:space="0" w:color="auto"/>
              <w:right w:val="single" w:sz="4" w:space="0" w:color="auto"/>
            </w:tcBorders>
            <w:vAlign w:val="center"/>
          </w:tcPr>
          <w:p w:rsidR="00BB1BEC" w:rsidRDefault="00BB1BEC" w:rsidP="00346323">
            <w:pPr>
              <w:spacing w:line="240" w:lineRule="atLeast"/>
              <w:jc w:val="center"/>
              <w:rPr>
                <w:rFonts w:ascii="宋体" w:hAnsi="宋体" w:cs="宋体"/>
                <w:color w:val="000000"/>
                <w:lang w:bidi="ar"/>
              </w:rPr>
            </w:pPr>
          </w:p>
        </w:tc>
      </w:tr>
    </w:tbl>
    <w:p w:rsidR="00BB1BEC" w:rsidRDefault="00BB1BEC" w:rsidP="00BB1BEC">
      <w:pPr>
        <w:pStyle w:val="a0"/>
        <w:spacing w:line="360" w:lineRule="auto"/>
        <w:jc w:val="both"/>
        <w:rPr>
          <w:rFonts w:ascii="宋体" w:hAnsi="宋体" w:cs="宋体"/>
        </w:rPr>
      </w:pPr>
    </w:p>
    <w:p w:rsidR="00BB1BEC" w:rsidRDefault="00BB1BEC" w:rsidP="00BB1BEC">
      <w:pPr>
        <w:pStyle w:val="a0"/>
        <w:spacing w:line="360" w:lineRule="auto"/>
        <w:jc w:val="both"/>
        <w:rPr>
          <w:rFonts w:ascii="宋体" w:hAnsi="宋体" w:cs="宋体"/>
        </w:rPr>
      </w:pPr>
    </w:p>
    <w:p w:rsidR="00BB1BEC" w:rsidRDefault="00BB1BEC" w:rsidP="00BB1BEC">
      <w:pPr>
        <w:pStyle w:val="a0"/>
        <w:numPr>
          <w:ilvl w:val="0"/>
          <w:numId w:val="1"/>
        </w:numPr>
        <w:spacing w:line="360" w:lineRule="auto"/>
        <w:ind w:firstLine="0"/>
        <w:jc w:val="both"/>
        <w:rPr>
          <w:rFonts w:ascii="宋体" w:hAnsi="宋体" w:cs="宋体"/>
          <w:b/>
        </w:rPr>
      </w:pPr>
      <w:bookmarkStart w:id="21" w:name="_Toc1596"/>
      <w:bookmarkStart w:id="22" w:name="_Toc3897845"/>
      <w:bookmarkStart w:id="23" w:name="_Toc3898032"/>
      <w:bookmarkStart w:id="24" w:name="_Toc3897761"/>
      <w:r>
        <w:rPr>
          <w:rFonts w:ascii="宋体" w:hAnsi="宋体" w:cs="宋体" w:hint="eastAsia"/>
          <w:b/>
        </w:rPr>
        <w:t>商务要求</w:t>
      </w:r>
      <w:bookmarkEnd w:id="21"/>
    </w:p>
    <w:bookmarkEnd w:id="22"/>
    <w:bookmarkEnd w:id="23"/>
    <w:bookmarkEnd w:id="24"/>
    <w:p w:rsidR="00BB1BEC" w:rsidRDefault="00BB1BEC" w:rsidP="00BB1BEC">
      <w:pPr>
        <w:pStyle w:val="a0"/>
        <w:spacing w:line="360" w:lineRule="auto"/>
        <w:ind w:firstLine="0"/>
        <w:jc w:val="both"/>
        <w:rPr>
          <w:rFonts w:ascii="宋体" w:hAnsi="宋体" w:cs="宋体"/>
          <w:b/>
          <w:bCs/>
        </w:rPr>
      </w:pPr>
      <w:r>
        <w:rPr>
          <w:rFonts w:ascii="宋体" w:hAnsi="宋体" w:cs="宋体" w:hint="eastAsia"/>
          <w:b/>
          <w:bCs/>
        </w:rPr>
        <w:t>（一）报价要求</w:t>
      </w:r>
    </w:p>
    <w:p w:rsidR="00BB1BEC" w:rsidRDefault="00BB1BEC" w:rsidP="00BB1BEC">
      <w:pPr>
        <w:widowControl w:val="0"/>
        <w:tabs>
          <w:tab w:val="left" w:pos="1145"/>
        </w:tabs>
        <w:spacing w:line="360" w:lineRule="auto"/>
        <w:ind w:firstLineChars="200" w:firstLine="422"/>
        <w:rPr>
          <w:rFonts w:ascii="宋体" w:hAnsi="宋体" w:cs="宋体"/>
        </w:rPr>
      </w:pPr>
      <w:r>
        <w:rPr>
          <w:rFonts w:ascii="宋体" w:hAnsi="宋体" w:cs="宋体" w:hint="eastAsia"/>
          <w:b/>
          <w:bCs/>
          <w:u w:val="single"/>
        </w:rPr>
        <w:lastRenderedPageBreak/>
        <w:t>★1.所报总价不能超过本项目的采购预算价，否则投标将被否决。</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2.价格包括：</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（1）货物及零配件的购置和安装、运输保险、装卸、培训辅导、质保期售后服务、全额含税发票、雇员费用、合同实施过程中应预见和不可预见费用等；</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（2）招标范围内所有设备及配件费；</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（3）安装中的相关费用（包括安装过程中损耗、额外材料、设计费等）；</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（4）人员培训和售后服务的相关费用。</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3.中标人负责项目用户需求书中列出的所有货物采购及服务内容，以及其他隐含的配套工作。中标人应充分考虑影响报价的各种因素和风险。采购人不再支付中标金额以外的任何费用。</w:t>
      </w:r>
    </w:p>
    <w:p w:rsidR="00BB1BEC" w:rsidRDefault="00BB1BEC" w:rsidP="00BB1BEC">
      <w:pPr>
        <w:pStyle w:val="a0"/>
        <w:spacing w:line="360" w:lineRule="auto"/>
        <w:ind w:firstLine="0"/>
        <w:jc w:val="both"/>
        <w:rPr>
          <w:rFonts w:ascii="宋体" w:hAnsi="宋体" w:cs="宋体"/>
          <w:b/>
          <w:bCs/>
        </w:rPr>
      </w:pPr>
      <w:r>
        <w:rPr>
          <w:rFonts w:ascii="宋体" w:hAnsi="宋体" w:cs="宋体" w:hint="eastAsia"/>
          <w:b/>
          <w:bCs/>
        </w:rPr>
        <w:t>（二）供货（服务）要求</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1.投标人所投设备及材料应是原厂原装、全新的产品，并符合下列要求：国家标准、行业标准以及该产品的出厂标准。</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2.投标人应对投标设备列明其品牌、型号、制造商名称、产地、技术参数、功能介绍和使用说明。</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3.对于影响设备正常工作的必要组成部分，无论在采购技术规范中指出与否，投标人都应提供并在投标文件中明确列出。</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4.投标设备的包装均应有良好的防湿、防锈、防潮、防雨、防腐及防碰撞的措施，符合《商品包装政府采购需求标准（试行）》及《快递包装政府采购需求标准（试行）》的要求。</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5.投标人所投货物的名称、品牌/制造商名称、型号、规格、配置（包括备品备件）、产地、数量等信息必须准确无误，且应与机器（机身铭牌）上的信息完全一致，中标后在签署合同和供货等后续环节均不得再作任何修改。</w:t>
      </w:r>
    </w:p>
    <w:p w:rsidR="00BB1BEC" w:rsidRDefault="00BB1BEC" w:rsidP="00BB1BEC">
      <w:pPr>
        <w:widowControl w:val="0"/>
        <w:tabs>
          <w:tab w:val="left" w:pos="1145"/>
        </w:tabs>
        <w:spacing w:line="360" w:lineRule="auto"/>
        <w:ind w:firstLineChars="200" w:firstLine="420"/>
        <w:rPr>
          <w:rFonts w:ascii="宋体" w:hAnsi="宋体" w:cs="宋体"/>
        </w:rPr>
      </w:pPr>
      <w:r>
        <w:rPr>
          <w:rFonts w:ascii="宋体" w:hAnsi="宋体" w:cs="宋体" w:hint="eastAsia"/>
        </w:rPr>
        <w:t>6.投标货物的技术规格、功能作用与招标文件要求一致而制造商所提供货物之设备名称与招标文件名称不一致的，须对设备名称不一致提供相关说明（格式见第六章）</w:t>
      </w:r>
    </w:p>
    <w:p w:rsidR="00BB1BEC" w:rsidRDefault="00BB1BEC" w:rsidP="00BB1BEC">
      <w:pPr>
        <w:widowControl w:val="0"/>
        <w:spacing w:line="360" w:lineRule="auto"/>
        <w:rPr>
          <w:rFonts w:ascii="宋体" w:hAnsi="宋体" w:cs="宋体"/>
          <w:b/>
        </w:rPr>
      </w:pPr>
    </w:p>
    <w:p w:rsidR="00BB1BEC" w:rsidRDefault="00BB1BEC" w:rsidP="00BB1BEC">
      <w:pPr>
        <w:widowControl w:val="0"/>
        <w:spacing w:line="360" w:lineRule="auto"/>
        <w:rPr>
          <w:rFonts w:ascii="宋体" w:hAnsi="宋体" w:cs="宋体"/>
          <w:b/>
        </w:rPr>
      </w:pPr>
      <w:r>
        <w:rPr>
          <w:rFonts w:ascii="宋体" w:hAnsi="宋体" w:cs="宋体" w:hint="eastAsia"/>
          <w:b/>
        </w:rPr>
        <w:t>（三）交货要求：</w:t>
      </w:r>
    </w:p>
    <w:p w:rsidR="00BB1BEC" w:rsidRDefault="00BB1BEC" w:rsidP="00BB1BEC">
      <w:pPr>
        <w:widowControl w:val="0"/>
        <w:spacing w:line="360" w:lineRule="auto"/>
        <w:ind w:firstLineChars="200" w:firstLine="420"/>
        <w:rPr>
          <w:rFonts w:ascii="宋体" w:hAnsi="宋体" w:cs="宋体"/>
        </w:rPr>
      </w:pPr>
      <w:r>
        <w:rPr>
          <w:rFonts w:ascii="宋体" w:hAnsi="宋体" w:cs="宋体" w:hint="eastAsia"/>
        </w:rPr>
        <w:t>1.交货时间：合同签订后2个月内完成供货、安装、调试、交付使用。</w:t>
      </w:r>
    </w:p>
    <w:p w:rsidR="00BB1BEC" w:rsidRDefault="00BB1BEC" w:rsidP="00BB1BEC">
      <w:pPr>
        <w:widowControl w:val="0"/>
        <w:spacing w:line="360" w:lineRule="auto"/>
        <w:ind w:firstLineChars="200" w:firstLine="420"/>
        <w:rPr>
          <w:rFonts w:ascii="宋体" w:hAnsi="宋体" w:cs="宋体"/>
          <w:b/>
        </w:rPr>
      </w:pPr>
      <w:r>
        <w:rPr>
          <w:rFonts w:ascii="宋体" w:hAnsi="宋体" w:cs="宋体" w:hint="eastAsia"/>
        </w:rPr>
        <w:t>2.交货地点：用户指定地点。</w:t>
      </w:r>
    </w:p>
    <w:p w:rsidR="00BB1BEC" w:rsidRDefault="00BB1BEC" w:rsidP="00BB1BEC">
      <w:pPr>
        <w:widowControl w:val="0"/>
        <w:spacing w:line="360" w:lineRule="auto"/>
        <w:rPr>
          <w:rFonts w:ascii="宋体" w:hAnsi="宋体" w:cs="宋体"/>
          <w:b/>
        </w:rPr>
      </w:pPr>
      <w:r>
        <w:rPr>
          <w:rFonts w:ascii="宋体" w:hAnsi="宋体" w:cs="宋体" w:hint="eastAsia"/>
          <w:b/>
        </w:rPr>
        <w:t>（四）验收标准：</w:t>
      </w:r>
    </w:p>
    <w:p w:rsidR="00BB1BEC" w:rsidRPr="00BB1BEC" w:rsidRDefault="00BB1BEC" w:rsidP="00BB1BEC">
      <w:pPr>
        <w:pStyle w:val="a0"/>
      </w:pPr>
      <w:r>
        <w:rPr>
          <w:rFonts w:hint="eastAsia"/>
        </w:rPr>
        <w:t>通过……进行验收，……，视为验收合格。</w:t>
      </w:r>
    </w:p>
    <w:p w:rsidR="00BB1BEC" w:rsidRDefault="00BB1BEC" w:rsidP="00BB1BEC">
      <w:pPr>
        <w:widowControl w:val="0"/>
        <w:spacing w:line="360" w:lineRule="auto"/>
        <w:rPr>
          <w:rFonts w:ascii="宋体" w:hAnsi="宋体" w:cs="宋体"/>
          <w:b/>
        </w:rPr>
      </w:pPr>
      <w:r>
        <w:rPr>
          <w:rFonts w:ascii="宋体" w:hAnsi="宋体" w:cs="宋体" w:hint="eastAsia"/>
          <w:b/>
        </w:rPr>
        <w:lastRenderedPageBreak/>
        <w:t>（五）付款方式（验收合格）：</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★1.从中国关境内提供货物的：</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1）采购人与中标人双方对货物进行验收合格后，中标人向采购人提供合同全额的发票作为报账凭证。</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2）中标人在货款结算时需交纳合同总金额5%的保修保证金给采购人，中标人在保修期间能履行保修条款及服务承诺，保修期满，采购人即不计利息返还其保修保证金。</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3）收到报账凭证及保修保证金后，招标人在十个工作日内完成办理相关规定的支付手续。</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★2.从中国关境外提供货物的：</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1）招标人与中标人双方对货物进行验收合格后，中标人由招标人指定的进口代理公司（招标人、中标人、进口代理公司签订三方合同）向招标人提供进口货物的进口所有单证、代理进口业务发票的原件、外商发票的原件、付汇水单的复印件（加盖进口代理商的财务章）等作为报账凭证。</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2）中标人在货款结算时需交纳合同总金额5%的保修保证金给招标人，中标人在保修期间能履行保修条款及服务承诺，保修期满，招标人即不计利息返还其保修保证金。</w:t>
      </w:r>
    </w:p>
    <w:p w:rsidR="00BB1BEC" w:rsidRDefault="00BB1BEC" w:rsidP="00BB1BEC">
      <w:pPr>
        <w:widowControl w:val="0"/>
        <w:spacing w:line="360" w:lineRule="auto"/>
        <w:ind w:firstLineChars="200" w:firstLine="422"/>
        <w:rPr>
          <w:rFonts w:ascii="宋体" w:hAnsi="宋体" w:cs="宋体"/>
          <w:b/>
          <w:bCs/>
          <w:u w:val="single"/>
        </w:rPr>
      </w:pPr>
      <w:r>
        <w:rPr>
          <w:rFonts w:ascii="宋体" w:hAnsi="宋体" w:cs="宋体" w:hint="eastAsia"/>
          <w:b/>
          <w:bCs/>
          <w:u w:val="single"/>
        </w:rPr>
        <w:t>3）收到报账凭证及保修保证金后，招标人在十个工作日内完成办理相关规定的支付手续。</w:t>
      </w:r>
    </w:p>
    <w:p w:rsidR="00BB1BEC" w:rsidRDefault="00BB1BEC" w:rsidP="00BB1BEC">
      <w:pPr>
        <w:widowControl w:val="0"/>
        <w:spacing w:line="360" w:lineRule="auto"/>
        <w:ind w:firstLineChars="200" w:firstLine="420"/>
        <w:rPr>
          <w:rFonts w:ascii="宋体" w:hAnsi="宋体" w:cs="宋体"/>
        </w:rPr>
      </w:pPr>
    </w:p>
    <w:p w:rsidR="00BB1BEC" w:rsidRDefault="00BB1BEC" w:rsidP="00BB1BEC">
      <w:pPr>
        <w:widowControl w:val="0"/>
        <w:adjustRightInd w:val="0"/>
        <w:snapToGrid w:val="0"/>
        <w:spacing w:line="360" w:lineRule="auto"/>
        <w:jc w:val="both"/>
        <w:rPr>
          <w:rFonts w:ascii="宋体" w:hAnsi="宋体" w:cs="宋体"/>
        </w:rPr>
      </w:pPr>
      <w:r>
        <w:rPr>
          <w:rFonts w:ascii="宋体" w:hAnsi="宋体" w:cs="宋体" w:hint="eastAsia"/>
          <w:b/>
        </w:rPr>
        <w:t>（六）售后服务</w:t>
      </w:r>
    </w:p>
    <w:p w:rsidR="00BB1BEC" w:rsidRDefault="00BB1BEC" w:rsidP="00BB1BEC">
      <w:pPr>
        <w:spacing w:line="360" w:lineRule="auto"/>
        <w:ind w:firstLineChars="200" w:firstLine="420"/>
        <w:rPr>
          <w:rFonts w:ascii="宋体" w:hAnsi="宋体" w:cs="宋体"/>
        </w:rPr>
      </w:pPr>
      <w:r>
        <w:rPr>
          <w:rFonts w:ascii="宋体" w:hAnsi="宋体" w:cs="宋体" w:hint="eastAsia"/>
        </w:rPr>
        <w:t>1、安装调试与人员培训，中标人应及时安装调试设备，安装调试期间采购人的使用人员协助配合；安装调试完毕，中标人需组织采购人使用人员进行使用及日常维护等的培训。</w:t>
      </w:r>
    </w:p>
    <w:p w:rsidR="00BB1BEC" w:rsidRDefault="00BB1BEC" w:rsidP="00BB1BEC">
      <w:pPr>
        <w:spacing w:line="360" w:lineRule="auto"/>
        <w:ind w:firstLineChars="200" w:firstLine="422"/>
        <w:rPr>
          <w:rFonts w:ascii="宋体" w:hAnsi="宋体" w:cs="宋体"/>
          <w:b/>
          <w:bCs/>
          <w:u w:val="single"/>
        </w:rPr>
      </w:pPr>
      <w:r>
        <w:rPr>
          <w:rFonts w:ascii="宋体" w:hAnsi="宋体" w:cs="宋体" w:hint="eastAsia"/>
          <w:b/>
          <w:bCs/>
          <w:u w:val="single"/>
        </w:rPr>
        <w:t>★2、提供3年免费保修期，保修期从采购人签订验收合格报告之日开始计算，免费保修期内供货方负责所有因设备质量问题而产生的费用，所有服务免费。</w:t>
      </w:r>
    </w:p>
    <w:p w:rsidR="00BB1BEC" w:rsidRDefault="00BB1BEC" w:rsidP="00BB1BEC">
      <w:pPr>
        <w:spacing w:line="360" w:lineRule="auto"/>
        <w:ind w:firstLineChars="200" w:firstLine="420"/>
        <w:rPr>
          <w:rFonts w:ascii="宋体" w:hAnsi="宋体"/>
          <w:b/>
          <w:bCs/>
        </w:rPr>
      </w:pPr>
      <w:r>
        <w:rPr>
          <w:rFonts w:ascii="宋体" w:hAnsi="宋体" w:cs="宋体" w:hint="eastAsia"/>
        </w:rPr>
        <w:t>3、中标人应指派专人负责与采购人联系售后服务事宜。无论设备因何种原因发生何种故障，中标人在接到维修通知后，须在2小时内响应，8小时内到达现场，24小时解决问题，若48小时内无法解决问题，则中标人应提供不低于同档次的产品供采购人使用。</w:t>
      </w:r>
    </w:p>
    <w:p w:rsidR="00BB1BEC" w:rsidRDefault="00BB1BEC" w:rsidP="00BB1BEC">
      <w:pPr>
        <w:widowControl w:val="0"/>
        <w:tabs>
          <w:tab w:val="left" w:pos="1145"/>
        </w:tabs>
        <w:spacing w:line="360" w:lineRule="auto"/>
        <w:ind w:firstLineChars="200" w:firstLine="422"/>
        <w:rPr>
          <w:rFonts w:ascii="宋体" w:hAnsi="宋体"/>
          <w:b/>
          <w:bCs/>
        </w:rPr>
      </w:pPr>
    </w:p>
    <w:p w:rsidR="00BB1BEC" w:rsidRDefault="00BB1BEC" w:rsidP="00BB1BEC">
      <w:pPr>
        <w:widowControl w:val="0"/>
        <w:tabs>
          <w:tab w:val="left" w:pos="1145"/>
        </w:tabs>
        <w:spacing w:line="360" w:lineRule="auto"/>
        <w:ind w:firstLineChars="200" w:firstLine="422"/>
        <w:rPr>
          <w:rFonts w:ascii="宋体" w:hAnsi="宋体"/>
          <w:b/>
          <w:bCs/>
        </w:rPr>
      </w:pPr>
    </w:p>
    <w:p w:rsidR="00993A8F" w:rsidRPr="00BB1BEC" w:rsidRDefault="00993A8F"/>
    <w:sectPr w:rsidR="00993A8F" w:rsidRPr="00BB1B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F7" w:rsidRDefault="00773FF7" w:rsidP="00155924">
      <w:r>
        <w:separator/>
      </w:r>
    </w:p>
  </w:endnote>
  <w:endnote w:type="continuationSeparator" w:id="0">
    <w:p w:rsidR="00773FF7" w:rsidRDefault="00773FF7" w:rsidP="001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F7" w:rsidRDefault="00773FF7" w:rsidP="00155924">
      <w:r>
        <w:separator/>
      </w:r>
    </w:p>
  </w:footnote>
  <w:footnote w:type="continuationSeparator" w:id="0">
    <w:p w:rsidR="00773FF7" w:rsidRDefault="00773FF7" w:rsidP="0015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43E4B"/>
    <w:multiLevelType w:val="singleLevel"/>
    <w:tmpl w:val="82643E4B"/>
    <w:lvl w:ilvl="0">
      <w:start w:val="1"/>
      <w:numFmt w:val="chineseCounting"/>
      <w:suff w:val="nothing"/>
      <w:lvlText w:val="%1、"/>
      <w:lvlJc w:val="left"/>
      <w:pPr>
        <w:ind w:left="0" w:firstLine="420"/>
      </w:pPr>
      <w:rPr>
        <w:rFonts w:hint="eastAsia"/>
      </w:rPr>
    </w:lvl>
  </w:abstractNum>
  <w:abstractNum w:abstractNumId="1">
    <w:nsid w:val="1FAA6982"/>
    <w:multiLevelType w:val="multilevel"/>
    <w:tmpl w:val="1FAA69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EC"/>
    <w:rsid w:val="00155924"/>
    <w:rsid w:val="00773FF7"/>
    <w:rsid w:val="00993A8F"/>
    <w:rsid w:val="00BB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B1BEC"/>
    <w:rPr>
      <w:rFonts w:ascii="Times New Roman" w:eastAsia="宋体" w:hAnsi="Times New Roman" w:cs="Times New Roman"/>
      <w:kern w:val="0"/>
      <w:szCs w:val="21"/>
    </w:rPr>
  </w:style>
  <w:style w:type="paragraph" w:styleId="1">
    <w:name w:val="heading 1"/>
    <w:basedOn w:val="a"/>
    <w:next w:val="a"/>
    <w:link w:val="1Char"/>
    <w:uiPriority w:val="99"/>
    <w:qFormat/>
    <w:rsid w:val="00BB1BEC"/>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BB1BEC"/>
    <w:rPr>
      <w:rFonts w:ascii="Times New Roman" w:eastAsia="宋体" w:hAnsi="Times New Roman" w:cs="Times New Roman"/>
      <w:b/>
      <w:bCs/>
      <w:kern w:val="44"/>
      <w:sz w:val="44"/>
      <w:szCs w:val="44"/>
    </w:rPr>
  </w:style>
  <w:style w:type="character" w:customStyle="1" w:styleId="Char">
    <w:name w:val="正文缩进 Char"/>
    <w:link w:val="a0"/>
    <w:qFormat/>
    <w:locked/>
    <w:rsid w:val="00BB1BEC"/>
    <w:rPr>
      <w:rFonts w:eastAsia="宋体"/>
      <w:szCs w:val="21"/>
    </w:rPr>
  </w:style>
  <w:style w:type="paragraph" w:styleId="a0">
    <w:name w:val="Normal Indent"/>
    <w:basedOn w:val="a"/>
    <w:link w:val="Char"/>
    <w:qFormat/>
    <w:rsid w:val="00BB1BEC"/>
    <w:pPr>
      <w:ind w:firstLine="420"/>
    </w:pPr>
    <w:rPr>
      <w:rFonts w:asciiTheme="minorHAnsi" w:hAnsiTheme="minorHAnsi" w:cstheme="minorBidi"/>
      <w:kern w:val="2"/>
    </w:rPr>
  </w:style>
  <w:style w:type="paragraph" w:styleId="a4">
    <w:name w:val="header"/>
    <w:basedOn w:val="a"/>
    <w:link w:val="Char0"/>
    <w:uiPriority w:val="99"/>
    <w:unhideWhenUsed/>
    <w:rsid w:val="001559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155924"/>
    <w:rPr>
      <w:rFonts w:ascii="Times New Roman" w:eastAsia="宋体" w:hAnsi="Times New Roman" w:cs="Times New Roman"/>
      <w:kern w:val="0"/>
      <w:sz w:val="18"/>
      <w:szCs w:val="18"/>
    </w:rPr>
  </w:style>
  <w:style w:type="paragraph" w:styleId="a5">
    <w:name w:val="footer"/>
    <w:basedOn w:val="a"/>
    <w:link w:val="Char1"/>
    <w:uiPriority w:val="99"/>
    <w:unhideWhenUsed/>
    <w:rsid w:val="00155924"/>
    <w:pPr>
      <w:tabs>
        <w:tab w:val="center" w:pos="4153"/>
        <w:tab w:val="right" w:pos="8306"/>
      </w:tabs>
      <w:snapToGrid w:val="0"/>
    </w:pPr>
    <w:rPr>
      <w:sz w:val="18"/>
      <w:szCs w:val="18"/>
    </w:rPr>
  </w:style>
  <w:style w:type="character" w:customStyle="1" w:styleId="Char1">
    <w:name w:val="页脚 Char"/>
    <w:basedOn w:val="a1"/>
    <w:link w:val="a5"/>
    <w:uiPriority w:val="99"/>
    <w:rsid w:val="00155924"/>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B1BEC"/>
    <w:rPr>
      <w:rFonts w:ascii="Times New Roman" w:eastAsia="宋体" w:hAnsi="Times New Roman" w:cs="Times New Roman"/>
      <w:kern w:val="0"/>
      <w:szCs w:val="21"/>
    </w:rPr>
  </w:style>
  <w:style w:type="paragraph" w:styleId="1">
    <w:name w:val="heading 1"/>
    <w:basedOn w:val="a"/>
    <w:next w:val="a"/>
    <w:link w:val="1Char"/>
    <w:uiPriority w:val="99"/>
    <w:qFormat/>
    <w:rsid w:val="00BB1BEC"/>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BB1BEC"/>
    <w:rPr>
      <w:rFonts w:ascii="Times New Roman" w:eastAsia="宋体" w:hAnsi="Times New Roman" w:cs="Times New Roman"/>
      <w:b/>
      <w:bCs/>
      <w:kern w:val="44"/>
      <w:sz w:val="44"/>
      <w:szCs w:val="44"/>
    </w:rPr>
  </w:style>
  <w:style w:type="character" w:customStyle="1" w:styleId="Char">
    <w:name w:val="正文缩进 Char"/>
    <w:link w:val="a0"/>
    <w:qFormat/>
    <w:locked/>
    <w:rsid w:val="00BB1BEC"/>
    <w:rPr>
      <w:rFonts w:eastAsia="宋体"/>
      <w:szCs w:val="21"/>
    </w:rPr>
  </w:style>
  <w:style w:type="paragraph" w:styleId="a0">
    <w:name w:val="Normal Indent"/>
    <w:basedOn w:val="a"/>
    <w:link w:val="Char"/>
    <w:qFormat/>
    <w:rsid w:val="00BB1BEC"/>
    <w:pPr>
      <w:ind w:firstLine="420"/>
    </w:pPr>
    <w:rPr>
      <w:rFonts w:asciiTheme="minorHAnsi" w:hAnsiTheme="minorHAnsi" w:cstheme="minorBidi"/>
      <w:kern w:val="2"/>
    </w:rPr>
  </w:style>
  <w:style w:type="paragraph" w:styleId="a4">
    <w:name w:val="header"/>
    <w:basedOn w:val="a"/>
    <w:link w:val="Char0"/>
    <w:uiPriority w:val="99"/>
    <w:unhideWhenUsed/>
    <w:rsid w:val="001559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uiPriority w:val="99"/>
    <w:rsid w:val="00155924"/>
    <w:rPr>
      <w:rFonts w:ascii="Times New Roman" w:eastAsia="宋体" w:hAnsi="Times New Roman" w:cs="Times New Roman"/>
      <w:kern w:val="0"/>
      <w:sz w:val="18"/>
      <w:szCs w:val="18"/>
    </w:rPr>
  </w:style>
  <w:style w:type="paragraph" w:styleId="a5">
    <w:name w:val="footer"/>
    <w:basedOn w:val="a"/>
    <w:link w:val="Char1"/>
    <w:uiPriority w:val="99"/>
    <w:unhideWhenUsed/>
    <w:rsid w:val="00155924"/>
    <w:pPr>
      <w:tabs>
        <w:tab w:val="center" w:pos="4153"/>
        <w:tab w:val="right" w:pos="8306"/>
      </w:tabs>
      <w:snapToGrid w:val="0"/>
    </w:pPr>
    <w:rPr>
      <w:sz w:val="18"/>
      <w:szCs w:val="18"/>
    </w:rPr>
  </w:style>
  <w:style w:type="character" w:customStyle="1" w:styleId="Char1">
    <w:name w:val="页脚 Char"/>
    <w:basedOn w:val="a1"/>
    <w:link w:val="a5"/>
    <w:uiPriority w:val="99"/>
    <w:rsid w:val="0015592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唯有自渡</dc:creator>
  <cp:lastModifiedBy>唯有自渡</cp:lastModifiedBy>
  <cp:revision>2</cp:revision>
  <dcterms:created xsi:type="dcterms:W3CDTF">2021-04-22T07:10:00Z</dcterms:created>
  <dcterms:modified xsi:type="dcterms:W3CDTF">2021-04-23T01:36:00Z</dcterms:modified>
</cp:coreProperties>
</file>